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74" w:rsidRPr="00936B0E" w:rsidRDefault="00A36B74" w:rsidP="00A36B74">
      <w:pPr>
        <w:pStyle w:val="ListParagraph"/>
        <w:spacing w:line="240" w:lineRule="auto"/>
        <w:ind w:left="0" w:firstLine="720"/>
        <w:jc w:val="center"/>
        <w:rPr>
          <w:rFonts w:cs="Times New Roman"/>
          <w:b/>
          <w:szCs w:val="24"/>
          <w:u w:val="single"/>
        </w:rPr>
      </w:pPr>
      <w:bookmarkStart w:id="0" w:name="_GoBack"/>
      <w:bookmarkEnd w:id="0"/>
      <w:r w:rsidRPr="00936B0E">
        <w:rPr>
          <w:rFonts w:cs="Times New Roman"/>
          <w:b/>
          <w:szCs w:val="24"/>
          <w:u w:val="single"/>
        </w:rPr>
        <w:t>SEVEN (7</w:t>
      </w:r>
      <w:r w:rsidR="00926350">
        <w:rPr>
          <w:rFonts w:cs="Times New Roman"/>
          <w:b/>
          <w:szCs w:val="24"/>
          <w:u w:val="single"/>
        </w:rPr>
        <w:t xml:space="preserve">) PROCEDURAL REQUIREMENTS OF </w:t>
      </w:r>
      <w:r w:rsidR="000E6AA9" w:rsidRPr="00936B0E">
        <w:rPr>
          <w:rFonts w:cs="Times New Roman"/>
          <w:b/>
          <w:szCs w:val="24"/>
          <w:u w:val="single"/>
        </w:rPr>
        <w:t>THE MISSISSIPPI</w:t>
      </w:r>
      <w:r w:rsidRPr="00936B0E">
        <w:rPr>
          <w:rFonts w:cs="Times New Roman"/>
          <w:b/>
          <w:szCs w:val="24"/>
          <w:u w:val="single"/>
        </w:rPr>
        <w:t xml:space="preserve"> </w:t>
      </w:r>
      <w:r w:rsidR="00450EDC" w:rsidRPr="00936B0E">
        <w:rPr>
          <w:rFonts w:cs="Times New Roman"/>
          <w:b/>
          <w:szCs w:val="24"/>
          <w:u w:val="single"/>
        </w:rPr>
        <w:t xml:space="preserve">CONSTRUCTION </w:t>
      </w:r>
      <w:r w:rsidRPr="00936B0E">
        <w:rPr>
          <w:rFonts w:cs="Times New Roman"/>
          <w:b/>
          <w:szCs w:val="24"/>
          <w:u w:val="single"/>
        </w:rPr>
        <w:t xml:space="preserve">LIEN LAW </w:t>
      </w:r>
    </w:p>
    <w:p w:rsidR="00A36B74" w:rsidRDefault="00A36B74" w:rsidP="00A36B74">
      <w:pPr>
        <w:pStyle w:val="ListParagraph"/>
        <w:spacing w:line="240" w:lineRule="auto"/>
        <w:ind w:left="0" w:firstLine="720"/>
        <w:jc w:val="center"/>
        <w:rPr>
          <w:rFonts w:cs="Times New Roman"/>
          <w:b/>
          <w:szCs w:val="24"/>
        </w:rPr>
      </w:pPr>
    </w:p>
    <w:p w:rsidR="00A36B74" w:rsidRDefault="00882D3A" w:rsidP="005D0489">
      <w:pPr>
        <w:pStyle w:val="ListParagraph"/>
        <w:spacing w:line="240" w:lineRule="auto"/>
        <w:ind w:left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By:</w:t>
      </w:r>
      <w:r>
        <w:rPr>
          <w:rFonts w:cs="Times New Roman"/>
          <w:b/>
          <w:szCs w:val="24"/>
        </w:rPr>
        <w:tab/>
      </w:r>
      <w:r w:rsidR="00A36B74">
        <w:rPr>
          <w:rFonts w:cs="Times New Roman"/>
          <w:b/>
          <w:szCs w:val="24"/>
        </w:rPr>
        <w:t>Robert P. Wise, Esq.</w:t>
      </w:r>
    </w:p>
    <w:p w:rsidR="00A36B74" w:rsidRDefault="00A36B74" w:rsidP="00882D3A">
      <w:pPr>
        <w:pStyle w:val="ListParagraph"/>
        <w:spacing w:line="240" w:lineRule="auto"/>
        <w:ind w:left="0" w:firstLine="720"/>
        <w:rPr>
          <w:b/>
        </w:rPr>
      </w:pPr>
      <w:r>
        <w:rPr>
          <w:b/>
        </w:rPr>
        <w:t>Sharpe &amp; Wise PLLC</w:t>
      </w:r>
      <w:r w:rsidR="00205B08">
        <w:rPr>
          <w:b/>
        </w:rPr>
        <w:t xml:space="preserve"> </w:t>
      </w:r>
      <w:r w:rsidR="00205B08" w:rsidRPr="00205B08">
        <w:rPr>
          <w:rFonts w:cs="Times New Roman"/>
        </w:rPr>
        <w:t>©</w:t>
      </w:r>
    </w:p>
    <w:p w:rsidR="005B6943" w:rsidRDefault="005B6943" w:rsidP="00882D3A">
      <w:pPr>
        <w:pStyle w:val="ListParagraph"/>
        <w:spacing w:line="240" w:lineRule="auto"/>
        <w:ind w:left="0" w:firstLine="720"/>
        <w:rPr>
          <w:b/>
        </w:rPr>
      </w:pPr>
      <w:r>
        <w:rPr>
          <w:b/>
        </w:rPr>
        <w:t>Jackson, Mississippi</w:t>
      </w:r>
    </w:p>
    <w:p w:rsidR="00A3630E" w:rsidRDefault="00A36B74" w:rsidP="00882D3A">
      <w:pPr>
        <w:pStyle w:val="ListParagraph"/>
        <w:spacing w:line="240" w:lineRule="auto"/>
        <w:ind w:left="0" w:firstLine="720"/>
        <w:rPr>
          <w:b/>
        </w:rPr>
      </w:pPr>
      <w:r>
        <w:rPr>
          <w:b/>
        </w:rPr>
        <w:t>Tel: 601-968-5561</w:t>
      </w:r>
    </w:p>
    <w:p w:rsidR="009C5D08" w:rsidRDefault="006C11CF" w:rsidP="00882D3A">
      <w:pPr>
        <w:pStyle w:val="ListParagraph"/>
        <w:spacing w:line="240" w:lineRule="auto"/>
        <w:ind w:left="0" w:firstLine="720"/>
        <w:rPr>
          <w:rStyle w:val="Hyperlink"/>
          <w:b/>
        </w:rPr>
      </w:pPr>
      <w:hyperlink r:id="rId9" w:history="1">
        <w:r w:rsidR="00A36B74">
          <w:rPr>
            <w:rStyle w:val="Hyperlink"/>
            <w:b/>
          </w:rPr>
          <w:t>rwise@sharpewise.com</w:t>
        </w:r>
      </w:hyperlink>
    </w:p>
    <w:p w:rsidR="009C5D08" w:rsidRPr="009C5D08" w:rsidRDefault="009C5D08" w:rsidP="00882D3A">
      <w:pPr>
        <w:pStyle w:val="ListParagraph"/>
        <w:spacing w:line="240" w:lineRule="auto"/>
        <w:ind w:left="0" w:firstLine="720"/>
        <w:rPr>
          <w:b/>
        </w:rPr>
      </w:pPr>
      <w:r w:rsidRPr="009C5D08">
        <w:rPr>
          <w:rStyle w:val="Hyperlink"/>
          <w:b/>
        </w:rPr>
        <w:t>www.</w:t>
      </w:r>
      <w:r w:rsidR="006C11CF">
        <w:rPr>
          <w:rStyle w:val="Hyperlink"/>
          <w:b/>
        </w:rPr>
        <w:t>sharpewise.com</w:t>
      </w:r>
    </w:p>
    <w:p w:rsidR="00A3630E" w:rsidRDefault="00A3630E" w:rsidP="00A3630E">
      <w:pPr>
        <w:pStyle w:val="ListParagraph"/>
        <w:spacing w:line="240" w:lineRule="auto"/>
        <w:ind w:left="0"/>
        <w:jc w:val="center"/>
        <w:rPr>
          <w:rFonts w:cs="Times New Roman"/>
          <w:szCs w:val="24"/>
        </w:rPr>
      </w:pPr>
    </w:p>
    <w:p w:rsidR="00A36B74" w:rsidRDefault="00A36B74" w:rsidP="00A36B74">
      <w:pPr>
        <w:pStyle w:val="ListParagraph"/>
        <w:spacing w:line="480" w:lineRule="auto"/>
        <w:ind w:left="0" w:firstLine="720"/>
        <w:jc w:val="both"/>
        <w:rPr>
          <w:rFonts w:cs="Times New Roman"/>
          <w:szCs w:val="24"/>
        </w:rPr>
      </w:pPr>
      <w:r w:rsidRPr="00736499">
        <w:rPr>
          <w:rFonts w:cs="Times New Roman"/>
          <w:szCs w:val="24"/>
        </w:rPr>
        <w:t xml:space="preserve">The </w:t>
      </w:r>
      <w:r>
        <w:rPr>
          <w:rFonts w:cs="Times New Roman"/>
          <w:szCs w:val="24"/>
        </w:rPr>
        <w:t>new April 2014 Mississippi construction lien law</w:t>
      </w:r>
      <w:r w:rsidRPr="0073649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requires that</w:t>
      </w:r>
      <w:r w:rsidRPr="0073649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a lien claimant meet seven (7) </w:t>
      </w:r>
      <w:r w:rsidRPr="00736499">
        <w:rPr>
          <w:rFonts w:cs="Times New Roman"/>
          <w:szCs w:val="24"/>
        </w:rPr>
        <w:t xml:space="preserve">strict </w:t>
      </w:r>
      <w:r>
        <w:rPr>
          <w:rFonts w:cs="Times New Roman"/>
          <w:szCs w:val="24"/>
        </w:rPr>
        <w:t xml:space="preserve">procedural </w:t>
      </w:r>
      <w:r w:rsidR="00655A96">
        <w:rPr>
          <w:rFonts w:cs="Times New Roman"/>
          <w:szCs w:val="24"/>
        </w:rPr>
        <w:t>requirements</w:t>
      </w:r>
      <w:r w:rsidRPr="00736499">
        <w:rPr>
          <w:rFonts w:cs="Times New Roman"/>
          <w:szCs w:val="24"/>
        </w:rPr>
        <w:t xml:space="preserve">.  The failure of </w:t>
      </w:r>
      <w:r>
        <w:rPr>
          <w:rFonts w:cs="Times New Roman"/>
          <w:szCs w:val="24"/>
        </w:rPr>
        <w:t xml:space="preserve">the </w:t>
      </w:r>
      <w:r w:rsidRPr="00736499">
        <w:rPr>
          <w:rFonts w:cs="Times New Roman"/>
          <w:szCs w:val="24"/>
        </w:rPr>
        <w:t xml:space="preserve">lien claimant to follow the enumerated requirements set forth in </w:t>
      </w:r>
      <w:r w:rsidRPr="00A36B74">
        <w:rPr>
          <w:rFonts w:cs="Times New Roman"/>
          <w:smallCaps/>
          <w:szCs w:val="24"/>
        </w:rPr>
        <w:t>Miss. Code Ann.</w:t>
      </w:r>
      <w:r>
        <w:rPr>
          <w:rFonts w:cs="Times New Roman"/>
          <w:szCs w:val="24"/>
        </w:rPr>
        <w:t xml:space="preserve"> § </w:t>
      </w:r>
      <w:r w:rsidRPr="00736499">
        <w:rPr>
          <w:rFonts w:cs="Times New Roman"/>
          <w:szCs w:val="24"/>
        </w:rPr>
        <w:t>85-7-405(1) renders the lien</w:t>
      </w:r>
      <w:r>
        <w:rPr>
          <w:rFonts w:cs="Times New Roman"/>
          <w:szCs w:val="24"/>
        </w:rPr>
        <w:t xml:space="preserve"> to</w:t>
      </w:r>
      <w:r w:rsidRPr="00736499">
        <w:rPr>
          <w:rFonts w:cs="Times New Roman"/>
          <w:szCs w:val="24"/>
        </w:rPr>
        <w:t xml:space="preserve"> “not be effective or enforceable”.</w:t>
      </w:r>
      <w:r>
        <w:rPr>
          <w:rStyle w:val="FootnoteReference"/>
          <w:rFonts w:cs="Times New Roman"/>
          <w:szCs w:val="24"/>
        </w:rPr>
        <w:footnoteReference w:id="1"/>
      </w:r>
      <w:r>
        <w:rPr>
          <w:rFonts w:cs="Times New Roman"/>
          <w:szCs w:val="24"/>
        </w:rPr>
        <w:t xml:space="preserve">  Courts strictly construe the requirements because lien statutes are in derogation of the common law.</w:t>
      </w:r>
      <w:r>
        <w:rPr>
          <w:rStyle w:val="FootnoteReference"/>
          <w:rFonts w:cs="Times New Roman"/>
          <w:szCs w:val="24"/>
        </w:rPr>
        <w:footnoteReference w:id="2"/>
      </w:r>
      <w:r>
        <w:rPr>
          <w:rFonts w:cs="Times New Roman"/>
          <w:szCs w:val="24"/>
        </w:rPr>
        <w:t xml:space="preserve">  The procedural requirements apply regardless whether the job is commercial or residential.  The seven prerequisites are that the claimant:</w:t>
      </w:r>
    </w:p>
    <w:p w:rsidR="00A36B74" w:rsidRDefault="00A36B74" w:rsidP="00A36B74">
      <w:pPr>
        <w:pStyle w:val="ListParagraph"/>
        <w:numPr>
          <w:ilvl w:val="1"/>
          <w:numId w:val="1"/>
        </w:numPr>
        <w:spacing w:line="240" w:lineRule="auto"/>
        <w:ind w:left="18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Be in substantial compliance with the contract or purchase order;</w:t>
      </w:r>
    </w:p>
    <w:p w:rsidR="00A36B74" w:rsidRDefault="00A36B74" w:rsidP="00A36B74">
      <w:pPr>
        <w:pStyle w:val="ListParagraph"/>
        <w:numPr>
          <w:ilvl w:val="1"/>
          <w:numId w:val="1"/>
        </w:numPr>
        <w:spacing w:line="240" w:lineRule="auto"/>
        <w:ind w:left="18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File claim of lien within 90 days</w:t>
      </w:r>
      <w:r w:rsidR="00CD25E2">
        <w:rPr>
          <w:rFonts w:cs="Times New Roman"/>
          <w:szCs w:val="24"/>
        </w:rPr>
        <w:t xml:space="preserve"> of last addition to the job</w:t>
      </w:r>
      <w:r>
        <w:rPr>
          <w:rFonts w:cs="Times New Roman"/>
          <w:szCs w:val="24"/>
        </w:rPr>
        <w:t>;</w:t>
      </w:r>
    </w:p>
    <w:p w:rsidR="00A36B74" w:rsidRDefault="00A36B74" w:rsidP="00A36B74">
      <w:pPr>
        <w:pStyle w:val="ListParagraph"/>
        <w:numPr>
          <w:ilvl w:val="1"/>
          <w:numId w:val="1"/>
        </w:numPr>
        <w:spacing w:line="240" w:lineRule="auto"/>
        <w:ind w:left="18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In</w:t>
      </w:r>
      <w:r w:rsidR="00F90FE3">
        <w:rPr>
          <w:rFonts w:cs="Times New Roman"/>
          <w:szCs w:val="24"/>
        </w:rPr>
        <w:t>clude in the lien a statement the</w:t>
      </w:r>
      <w:r>
        <w:rPr>
          <w:rFonts w:cs="Times New Roman"/>
          <w:szCs w:val="24"/>
        </w:rPr>
        <w:t xml:space="preserve"> amount due and </w:t>
      </w:r>
      <w:r w:rsidR="00FA7BA5">
        <w:rPr>
          <w:rFonts w:cs="Times New Roman"/>
          <w:szCs w:val="24"/>
        </w:rPr>
        <w:t xml:space="preserve">last </w:t>
      </w:r>
      <w:r>
        <w:rPr>
          <w:rFonts w:cs="Times New Roman"/>
          <w:szCs w:val="24"/>
        </w:rPr>
        <w:t>due date of the claim;</w:t>
      </w:r>
    </w:p>
    <w:p w:rsidR="00A36B74" w:rsidRDefault="00A36B74" w:rsidP="00A36B74">
      <w:pPr>
        <w:pStyle w:val="ListParagraph"/>
        <w:numPr>
          <w:ilvl w:val="1"/>
          <w:numId w:val="1"/>
        </w:numPr>
        <w:spacing w:line="240" w:lineRule="auto"/>
        <w:ind w:left="18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Notice the filing of claim of lien within 2 days to contractor and owner;</w:t>
      </w:r>
    </w:p>
    <w:p w:rsidR="00A36B74" w:rsidRDefault="00A36B74" w:rsidP="00A36B74">
      <w:pPr>
        <w:pStyle w:val="ListParagraph"/>
        <w:numPr>
          <w:ilvl w:val="1"/>
          <w:numId w:val="1"/>
        </w:numPr>
        <w:spacing w:line="240" w:lineRule="auto"/>
        <w:ind w:left="18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File a payment</w:t>
      </w:r>
      <w:r w:rsidR="00DB3616">
        <w:rPr>
          <w:rFonts w:cs="Times New Roman"/>
          <w:szCs w:val="24"/>
        </w:rPr>
        <w:t>/lien</w:t>
      </w:r>
      <w:r>
        <w:rPr>
          <w:rFonts w:cs="Times New Roman"/>
          <w:szCs w:val="24"/>
        </w:rPr>
        <w:t xml:space="preserve"> action within 180 days</w:t>
      </w:r>
      <w:r w:rsidR="00794571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or 90 days if owner</w:t>
      </w:r>
      <w:r w:rsidR="00076DC4">
        <w:rPr>
          <w:rFonts w:cs="Times New Roman"/>
          <w:szCs w:val="24"/>
        </w:rPr>
        <w:t>/GC</w:t>
      </w:r>
      <w:r>
        <w:rPr>
          <w:rFonts w:cs="Times New Roman"/>
          <w:szCs w:val="24"/>
        </w:rPr>
        <w:t xml:space="preserve"> contests;</w:t>
      </w:r>
    </w:p>
    <w:p w:rsidR="00A36B74" w:rsidRDefault="00A36B74" w:rsidP="00A36B74">
      <w:pPr>
        <w:pStyle w:val="ListParagraph"/>
        <w:numPr>
          <w:ilvl w:val="1"/>
          <w:numId w:val="1"/>
        </w:numPr>
        <w:spacing w:line="240" w:lineRule="auto"/>
        <w:ind w:left="18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File a </w:t>
      </w:r>
      <w:r>
        <w:rPr>
          <w:rFonts w:cs="Times New Roman"/>
          <w:i/>
          <w:szCs w:val="24"/>
        </w:rPr>
        <w:t xml:space="preserve">lis </w:t>
      </w:r>
      <w:proofErr w:type="spellStart"/>
      <w:r>
        <w:rPr>
          <w:rFonts w:cs="Times New Roman"/>
          <w:i/>
          <w:szCs w:val="24"/>
        </w:rPr>
        <w:t>pendens</w:t>
      </w:r>
      <w:proofErr w:type="spellEnd"/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>with commencement of the payment action; and</w:t>
      </w:r>
    </w:p>
    <w:p w:rsidR="00A36B74" w:rsidRDefault="00A36B74" w:rsidP="00A36B74">
      <w:pPr>
        <w:pStyle w:val="ListParagraph"/>
        <w:numPr>
          <w:ilvl w:val="1"/>
          <w:numId w:val="1"/>
        </w:numPr>
        <w:spacing w:line="240" w:lineRule="auto"/>
        <w:ind w:left="18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Be licensed</w:t>
      </w:r>
      <w:r w:rsidRPr="002C78F2">
        <w:rPr>
          <w:rFonts w:cs="Times New Roman"/>
          <w:szCs w:val="24"/>
        </w:rPr>
        <w:t xml:space="preserve"> if required with Board of Contractors</w:t>
      </w:r>
      <w:r>
        <w:rPr>
          <w:rFonts w:cs="Times New Roman"/>
          <w:szCs w:val="24"/>
        </w:rPr>
        <w:t xml:space="preserve"> or other licensing board.</w:t>
      </w:r>
    </w:p>
    <w:p w:rsidR="00A36B74" w:rsidRDefault="00A36B74" w:rsidP="00A36B74">
      <w:pPr>
        <w:pStyle w:val="ListParagraph"/>
        <w:spacing w:line="240" w:lineRule="auto"/>
        <w:ind w:left="1800"/>
        <w:jc w:val="both"/>
        <w:rPr>
          <w:rFonts w:cs="Times New Roman"/>
          <w:szCs w:val="24"/>
        </w:rPr>
      </w:pPr>
    </w:p>
    <w:p w:rsidR="00D07AFB" w:rsidRDefault="00D07AFB" w:rsidP="00D07AFB">
      <w:pPr>
        <w:pStyle w:val="ListParagraph"/>
        <w:spacing w:line="240" w:lineRule="auto"/>
        <w:ind w:left="0"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 addition there are two starting gate requirements before </w:t>
      </w:r>
      <w:r w:rsidR="00050BA5">
        <w:rPr>
          <w:rFonts w:cs="Times New Roman"/>
          <w:szCs w:val="24"/>
        </w:rPr>
        <w:t>a Mississippi subcontractor or materialman</w:t>
      </w:r>
      <w:r>
        <w:rPr>
          <w:rFonts w:cs="Times New Roman"/>
          <w:szCs w:val="24"/>
        </w:rPr>
        <w:t xml:space="preserve"> can qualify for a construction lien under Mississippi’s new construction lien law: </w:t>
      </w:r>
    </w:p>
    <w:p w:rsidR="009F3093" w:rsidRDefault="009F3093" w:rsidP="00D07AFB">
      <w:pPr>
        <w:pStyle w:val="ListParagraph"/>
        <w:spacing w:line="240" w:lineRule="auto"/>
        <w:ind w:left="0" w:firstLine="720"/>
        <w:jc w:val="both"/>
        <w:rPr>
          <w:rFonts w:cs="Times New Roman"/>
          <w:szCs w:val="24"/>
        </w:rPr>
      </w:pPr>
    </w:p>
    <w:p w:rsidR="00D07AFB" w:rsidRDefault="00D07AFB" w:rsidP="00D07AFB">
      <w:pPr>
        <w:pStyle w:val="ListParagraph"/>
        <w:spacing w:line="240" w:lineRule="auto"/>
        <w:ind w:left="0"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1) </w:t>
      </w:r>
      <w:r w:rsidR="00210141" w:rsidRPr="00210141">
        <w:rPr>
          <w:rFonts w:cs="Times New Roman"/>
          <w:szCs w:val="24"/>
          <w:u w:val="single"/>
        </w:rPr>
        <w:t>For 2</w:t>
      </w:r>
      <w:r w:rsidR="00210141" w:rsidRPr="00210141">
        <w:rPr>
          <w:rFonts w:cs="Times New Roman"/>
          <w:szCs w:val="24"/>
          <w:u w:val="single"/>
          <w:vertAlign w:val="superscript"/>
        </w:rPr>
        <w:t>nd</w:t>
      </w:r>
      <w:r w:rsidR="00210141" w:rsidRPr="00210141">
        <w:rPr>
          <w:rFonts w:cs="Times New Roman"/>
          <w:szCs w:val="24"/>
          <w:u w:val="single"/>
        </w:rPr>
        <w:t xml:space="preserve"> tier</w:t>
      </w:r>
      <w:r w:rsidR="00210141">
        <w:rPr>
          <w:rFonts w:cs="Times New Roman"/>
          <w:szCs w:val="24"/>
        </w:rPr>
        <w:t xml:space="preserve"> subs and materialmen only, a</w:t>
      </w:r>
      <w:r>
        <w:rPr>
          <w:rFonts w:cs="Times New Roman"/>
          <w:szCs w:val="24"/>
        </w:rPr>
        <w:t xml:space="preserve"> </w:t>
      </w:r>
      <w:r w:rsidR="00132284">
        <w:rPr>
          <w:rFonts w:cs="Times New Roman"/>
          <w:szCs w:val="24"/>
        </w:rPr>
        <w:t xml:space="preserve">written </w:t>
      </w:r>
      <w:r w:rsidR="0078394C" w:rsidRPr="0078394C">
        <w:rPr>
          <w:rFonts w:cs="Times New Roman"/>
          <w:szCs w:val="24"/>
          <w:u w:val="single"/>
        </w:rPr>
        <w:t>No</w:t>
      </w:r>
      <w:r w:rsidR="0078394C">
        <w:rPr>
          <w:rFonts w:cs="Times New Roman"/>
          <w:szCs w:val="24"/>
          <w:u w:val="single"/>
        </w:rPr>
        <w:t>tice of C</w:t>
      </w:r>
      <w:r w:rsidRPr="0070468A">
        <w:rPr>
          <w:rFonts w:cs="Times New Roman"/>
          <w:szCs w:val="24"/>
          <w:u w:val="single"/>
        </w:rPr>
        <w:t>ommencement</w:t>
      </w:r>
      <w:r w:rsidR="00210141"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of addition of labor or materials </w:t>
      </w:r>
      <w:r w:rsidR="006E6C5D">
        <w:rPr>
          <w:rFonts w:cs="Times New Roman"/>
          <w:szCs w:val="24"/>
        </w:rPr>
        <w:t xml:space="preserve">sent to the general contractor </w:t>
      </w:r>
      <w:r>
        <w:rPr>
          <w:rFonts w:cs="Times New Roman"/>
          <w:szCs w:val="24"/>
        </w:rPr>
        <w:t>within 30 days of the first supply on commercial and multi-family jobs</w:t>
      </w:r>
      <w:r w:rsidR="00B707CE">
        <w:rPr>
          <w:rFonts w:cs="Times New Roman"/>
          <w:szCs w:val="24"/>
        </w:rPr>
        <w:t xml:space="preserve"> </w:t>
      </w:r>
      <w:r w:rsidR="009F3093">
        <w:rPr>
          <w:rStyle w:val="FootnoteReference"/>
          <w:rFonts w:cs="Times New Roman"/>
          <w:szCs w:val="24"/>
        </w:rPr>
        <w:footnoteReference w:id="3"/>
      </w:r>
      <w:r>
        <w:rPr>
          <w:rFonts w:cs="Times New Roman"/>
          <w:szCs w:val="24"/>
        </w:rPr>
        <w:t xml:space="preserve"> </w:t>
      </w:r>
      <w:r w:rsidR="00B707CE">
        <w:rPr>
          <w:rFonts w:cs="Times New Roman"/>
          <w:szCs w:val="24"/>
        </w:rPr>
        <w:t xml:space="preserve">; </w:t>
      </w:r>
      <w:r>
        <w:rPr>
          <w:rFonts w:cs="Times New Roman"/>
          <w:szCs w:val="24"/>
        </w:rPr>
        <w:t>and</w:t>
      </w:r>
    </w:p>
    <w:p w:rsidR="00E115A2" w:rsidRDefault="00D07AFB" w:rsidP="009F3093">
      <w:pPr>
        <w:pStyle w:val="ListParagraph"/>
        <w:spacing w:line="240" w:lineRule="auto"/>
        <w:ind w:left="0" w:firstLine="720"/>
        <w:jc w:val="both"/>
      </w:pPr>
      <w:r>
        <w:rPr>
          <w:rFonts w:cs="Times New Roman"/>
          <w:szCs w:val="24"/>
        </w:rPr>
        <w:t xml:space="preserve">2)  On single family residential jobs a </w:t>
      </w:r>
      <w:r w:rsidR="0078394C">
        <w:rPr>
          <w:rFonts w:cs="Times New Roman"/>
          <w:szCs w:val="24"/>
        </w:rPr>
        <w:t xml:space="preserve">written </w:t>
      </w:r>
      <w:r w:rsidR="0078394C" w:rsidRPr="00210141">
        <w:rPr>
          <w:rFonts w:cs="Times New Roman"/>
          <w:szCs w:val="24"/>
          <w:u w:val="single"/>
        </w:rPr>
        <w:t>P</w:t>
      </w:r>
      <w:r w:rsidRPr="0070468A">
        <w:rPr>
          <w:rFonts w:cs="Times New Roman"/>
          <w:szCs w:val="24"/>
          <w:u w:val="single"/>
        </w:rPr>
        <w:t>re-</w:t>
      </w:r>
      <w:r w:rsidR="0078394C">
        <w:rPr>
          <w:rFonts w:cs="Times New Roman"/>
          <w:szCs w:val="24"/>
          <w:u w:val="single"/>
        </w:rPr>
        <w:t>L</w:t>
      </w:r>
      <w:r w:rsidRPr="0070468A">
        <w:rPr>
          <w:rFonts w:cs="Times New Roman"/>
          <w:szCs w:val="24"/>
          <w:u w:val="single"/>
        </w:rPr>
        <w:t xml:space="preserve">ien </w:t>
      </w:r>
      <w:r w:rsidR="0078394C">
        <w:rPr>
          <w:rFonts w:cs="Times New Roman"/>
          <w:szCs w:val="24"/>
          <w:u w:val="single"/>
        </w:rPr>
        <w:t>N</w:t>
      </w:r>
      <w:r w:rsidRPr="0070468A">
        <w:rPr>
          <w:rFonts w:cs="Times New Roman"/>
          <w:szCs w:val="24"/>
          <w:u w:val="single"/>
        </w:rPr>
        <w:t>otice</w:t>
      </w:r>
      <w:r>
        <w:rPr>
          <w:rFonts w:cs="Times New Roman"/>
          <w:szCs w:val="24"/>
        </w:rPr>
        <w:t xml:space="preserve"> to the owner sent at least 10 days before the filing of any lien on a single family residence.</w:t>
      </w:r>
      <w:r w:rsidR="009F3093">
        <w:rPr>
          <w:rStyle w:val="FootnoteReference"/>
          <w:rFonts w:cs="Times New Roman"/>
          <w:szCs w:val="24"/>
        </w:rPr>
        <w:footnoteReference w:id="4"/>
      </w:r>
      <w:r>
        <w:rPr>
          <w:rFonts w:cs="Times New Roman"/>
          <w:szCs w:val="24"/>
        </w:rPr>
        <w:t xml:space="preserve">   </w:t>
      </w:r>
      <w:r w:rsidR="009F3093">
        <w:rPr>
          <w:rFonts w:cs="Times New Roman"/>
          <w:szCs w:val="24"/>
        </w:rPr>
        <w:t>See my summary on this website: “</w:t>
      </w:r>
      <w:r w:rsidR="0078394C">
        <w:rPr>
          <w:rFonts w:cs="Times New Roman"/>
          <w:szCs w:val="24"/>
        </w:rPr>
        <w:t>Four (4) Points Mississippi Subcontractors and Materialmen Must Know About Mississippi’s New Lien Law to Preserve Lien Rights</w:t>
      </w:r>
      <w:r w:rsidR="009F3093">
        <w:rPr>
          <w:rFonts w:cs="Times New Roman"/>
          <w:szCs w:val="24"/>
        </w:rPr>
        <w:t>”</w:t>
      </w:r>
      <w:r w:rsidR="0078394C">
        <w:rPr>
          <w:rFonts w:cs="Times New Roman"/>
          <w:szCs w:val="24"/>
        </w:rPr>
        <w:t xml:space="preserve"> (</w:t>
      </w:r>
      <w:hyperlink r:id="rId10" w:history="1">
        <w:r w:rsidR="000D10E3" w:rsidRPr="001378E6">
          <w:rPr>
            <w:rStyle w:val="Hyperlink"/>
            <w:rFonts w:cs="Times New Roman"/>
            <w:szCs w:val="24"/>
          </w:rPr>
          <w:t>www.</w:t>
        </w:r>
        <w:r w:rsidR="006C11CF">
          <w:rPr>
            <w:rStyle w:val="Hyperlink"/>
            <w:rFonts w:cs="Times New Roman"/>
            <w:szCs w:val="24"/>
          </w:rPr>
          <w:t>sharpewise.com</w:t>
        </w:r>
      </w:hyperlink>
      <w:r w:rsidR="0078394C">
        <w:rPr>
          <w:rFonts w:cs="Times New Roman"/>
          <w:szCs w:val="24"/>
        </w:rPr>
        <w:t xml:space="preserve"> ).</w:t>
      </w:r>
      <w:r w:rsidR="009F3093">
        <w:rPr>
          <w:rFonts w:cs="Times New Roman"/>
          <w:szCs w:val="24"/>
        </w:rPr>
        <w:t xml:space="preserve">  </w:t>
      </w:r>
    </w:p>
    <w:sectPr w:rsidR="00E11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B74" w:rsidRDefault="00A36B74" w:rsidP="00A36B74">
      <w:pPr>
        <w:spacing w:after="0" w:line="240" w:lineRule="auto"/>
      </w:pPr>
      <w:r>
        <w:separator/>
      </w:r>
    </w:p>
  </w:endnote>
  <w:endnote w:type="continuationSeparator" w:id="0">
    <w:p w:rsidR="00A36B74" w:rsidRDefault="00A36B74" w:rsidP="00A3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B74" w:rsidRDefault="00A36B74" w:rsidP="00A36B74">
      <w:pPr>
        <w:spacing w:after="0" w:line="240" w:lineRule="auto"/>
      </w:pPr>
      <w:r>
        <w:separator/>
      </w:r>
    </w:p>
  </w:footnote>
  <w:footnote w:type="continuationSeparator" w:id="0">
    <w:p w:rsidR="00A36B74" w:rsidRDefault="00A36B74" w:rsidP="00A36B74">
      <w:pPr>
        <w:spacing w:after="0" w:line="240" w:lineRule="auto"/>
      </w:pPr>
      <w:r>
        <w:continuationSeparator/>
      </w:r>
    </w:p>
  </w:footnote>
  <w:footnote w:id="1">
    <w:p w:rsidR="00A36B74" w:rsidRDefault="00A36B74" w:rsidP="00A36B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A3B3F">
        <w:rPr>
          <w:rFonts w:cs="Times New Roman"/>
          <w:smallCaps/>
          <w:szCs w:val="24"/>
        </w:rPr>
        <w:t xml:space="preserve">Miss. Code </w:t>
      </w:r>
      <w:r>
        <w:rPr>
          <w:rFonts w:cs="Times New Roman"/>
          <w:smallCaps/>
          <w:szCs w:val="24"/>
        </w:rPr>
        <w:t xml:space="preserve"> </w:t>
      </w:r>
      <w:r w:rsidRPr="00BA3B3F">
        <w:rPr>
          <w:rFonts w:cs="Times New Roman"/>
          <w:smallCaps/>
          <w:szCs w:val="24"/>
        </w:rPr>
        <w:t>Ann.</w:t>
      </w:r>
      <w:r>
        <w:rPr>
          <w:rFonts w:cs="Times New Roman"/>
          <w:szCs w:val="24"/>
        </w:rPr>
        <w:t xml:space="preserve"> </w:t>
      </w:r>
      <w:r w:rsidRPr="00304084">
        <w:rPr>
          <w:rFonts w:cs="Times New Roman"/>
          <w:szCs w:val="24"/>
        </w:rPr>
        <w:t xml:space="preserve"> § 85-7-405(1)</w:t>
      </w:r>
      <w:r>
        <w:rPr>
          <w:rFonts w:cs="Times New Roman"/>
          <w:szCs w:val="24"/>
        </w:rPr>
        <w:t>.</w:t>
      </w:r>
    </w:p>
  </w:footnote>
  <w:footnote w:id="2">
    <w:p w:rsidR="00A36B74" w:rsidRPr="000956F3" w:rsidRDefault="00A36B74" w:rsidP="00A36B74">
      <w:pPr>
        <w:pStyle w:val="FootnoteText"/>
      </w:pPr>
      <w:r>
        <w:rPr>
          <w:rStyle w:val="FootnoteReference"/>
        </w:rPr>
        <w:footnoteRef/>
      </w:r>
      <w:r>
        <w:t xml:space="preserve"> As Justice Jimmy Robertson has written, “[t]here is no natural law of </w:t>
      </w:r>
      <w:proofErr w:type="spellStart"/>
      <w:r>
        <w:t>materialman’s</w:t>
      </w:r>
      <w:proofErr w:type="spellEnd"/>
      <w:r>
        <w:t xml:space="preserve"> liens” since claimants have lien rights “only to the extent that they have brought themselves within the terms of the statute.”  Riley </w:t>
      </w:r>
      <w:proofErr w:type="spellStart"/>
      <w:r>
        <w:t>Blg</w:t>
      </w:r>
      <w:proofErr w:type="spellEnd"/>
      <w:r>
        <w:t>. Suppliers, Inc. v. First Citizens Nat’l Bank, 510 So.2d 506, 508 (Miss.1987).</w:t>
      </w:r>
    </w:p>
  </w:footnote>
  <w:footnote w:id="3">
    <w:p w:rsidR="009F3093" w:rsidRDefault="009F30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94842">
        <w:rPr>
          <w:smallCaps/>
        </w:rPr>
        <w:t>Miss. Code Ann.</w:t>
      </w:r>
      <w:r>
        <w:t xml:space="preserve"> </w:t>
      </w:r>
      <w:r>
        <w:rPr>
          <w:rFonts w:cs="Times New Roman"/>
        </w:rPr>
        <w:t>§</w:t>
      </w:r>
      <w:r>
        <w:t xml:space="preserve"> 85-7-407(2).</w:t>
      </w:r>
    </w:p>
  </w:footnote>
  <w:footnote w:id="4">
    <w:p w:rsidR="009F3093" w:rsidRDefault="009F30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94842">
        <w:rPr>
          <w:smallCaps/>
        </w:rPr>
        <w:t>Miss. Code Ann.</w:t>
      </w:r>
      <w:r>
        <w:t xml:space="preserve"> </w:t>
      </w:r>
      <w:r>
        <w:rPr>
          <w:rFonts w:cs="Times New Roman"/>
        </w:rPr>
        <w:t>§</w:t>
      </w:r>
      <w:r>
        <w:t xml:space="preserve"> 85-7-409(2).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50F58"/>
    <w:multiLevelType w:val="hybridMultilevel"/>
    <w:tmpl w:val="195675B4"/>
    <w:lvl w:ilvl="0" w:tplc="E67E11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ACC8EED4">
      <w:start w:val="1"/>
      <w:numFmt w:val="decimal"/>
      <w:lvlText w:val="(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6EA91A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74"/>
    <w:rsid w:val="00050BA5"/>
    <w:rsid w:val="00076DC4"/>
    <w:rsid w:val="000D10E3"/>
    <w:rsid w:val="000E6AA9"/>
    <w:rsid w:val="00132284"/>
    <w:rsid w:val="00205B08"/>
    <w:rsid w:val="00210141"/>
    <w:rsid w:val="00394842"/>
    <w:rsid w:val="00450EDC"/>
    <w:rsid w:val="005B6943"/>
    <w:rsid w:val="005D0489"/>
    <w:rsid w:val="00655A96"/>
    <w:rsid w:val="006C11CF"/>
    <w:rsid w:val="006E6C5D"/>
    <w:rsid w:val="0070468A"/>
    <w:rsid w:val="0078394C"/>
    <w:rsid w:val="00794571"/>
    <w:rsid w:val="00882D3A"/>
    <w:rsid w:val="00926350"/>
    <w:rsid w:val="00936B0E"/>
    <w:rsid w:val="009C5D08"/>
    <w:rsid w:val="009F1BA6"/>
    <w:rsid w:val="009F3093"/>
    <w:rsid w:val="00A3630E"/>
    <w:rsid w:val="00A36B74"/>
    <w:rsid w:val="00AC5C83"/>
    <w:rsid w:val="00B707CE"/>
    <w:rsid w:val="00CD25E2"/>
    <w:rsid w:val="00D07AFB"/>
    <w:rsid w:val="00DB3616"/>
    <w:rsid w:val="00E115A2"/>
    <w:rsid w:val="00F90FE3"/>
    <w:rsid w:val="00FA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B7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6B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6B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6B7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36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B7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6B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6B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6B7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36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harpeandwis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wise@sharpew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58483-9A28-4D13-9DDD-C991161C7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Wise</dc:creator>
  <cp:lastModifiedBy>Robert Wise</cp:lastModifiedBy>
  <cp:revision>30</cp:revision>
  <cp:lastPrinted>2015-02-04T18:05:00Z</cp:lastPrinted>
  <dcterms:created xsi:type="dcterms:W3CDTF">2014-05-14T15:41:00Z</dcterms:created>
  <dcterms:modified xsi:type="dcterms:W3CDTF">2015-02-26T20:40:00Z</dcterms:modified>
</cp:coreProperties>
</file>